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CEA" w:rsidRP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r w:rsidRPr="00017CE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Практика 30</w:t>
      </w:r>
    </w:p>
    <w:bookmarkEnd w:id="0"/>
    <w:p w:rsidR="00017CEA" w:rsidRDefault="00017CEA" w:rsidP="00017CEA">
      <w:pPr>
        <w:keepNext/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17CEA" w:rsidRPr="00017CEA" w:rsidRDefault="00017CEA" w:rsidP="00017CEA">
      <w:pPr>
        <w:keepNext/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17C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Площадки </w:t>
      </w:r>
      <w:bookmarkStart w:id="1" w:name="OCRUncertain2436"/>
      <w:r w:rsidRPr="00017C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подсушивания</w:t>
      </w:r>
      <w:bookmarkEnd w:id="1"/>
    </w:p>
    <w:p w:rsidR="00017CEA" w:rsidRPr="00017CEA" w:rsidRDefault="00017CEA" w:rsidP="00017CEA">
      <w:pPr>
        <w:keepNext/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южных районах, где в период устойчивого дефицита влажности величина дефицита составляет 800 мм и более, обезвоживание осадка допускается предусматривать на площадках </w:t>
      </w:r>
      <w:bookmarkStart w:id="2" w:name="OCRUncertain2437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подсушивания</w:t>
      </w:r>
      <w:bookmarkEnd w:id="2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путем уплотнения его под действием силы собственной массы и </w:t>
      </w:r>
      <w:bookmarkStart w:id="3" w:name="OCRUncertain2438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высушивания</w:t>
      </w:r>
      <w:bookmarkEnd w:id="3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открытом воздухе с последующим вывозом осадка через 1–3 года в места складирования.</w:t>
      </w: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Общая полезная площадь площадок подсушивания осадка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пл.п</w:t>
      </w:r>
      <w:bookmarkStart w:id="4" w:name="OCRUncertain2439"/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4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5" w:name="OCRUncertain244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5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должна определяться по формуле:</w:t>
      </w: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7CEA" w:rsidRDefault="00017CEA" w:rsidP="00017CEA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object w:dxaOrig="1575" w:dyaOrig="3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.75pt;height:15.75pt" o:ole="">
            <v:imagedata r:id="rId4" o:title=""/>
          </v:shape>
          <o:OLEObject Type="Embed" ProgID="Equation.3" ShapeID="_x0000_i1025" DrawAspect="Content" ObjectID="_1705079420" r:id="rId5"/>
        </w:objec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(12.7)</w:t>
      </w:r>
    </w:p>
    <w:p w:rsidR="00017CEA" w:rsidRDefault="00017CEA" w:rsidP="00017CEA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bookmarkStart w:id="6" w:name="OCRUncertain2447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bookmarkEnd w:id="6"/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з.в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л</w:t>
      </w:r>
      <w:r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площади площадок подсушивания соответственно для зимне-весеннего и летнего напусков осадка, </w:t>
      </w:r>
      <w:bookmarkStart w:id="7" w:name="OCRUncertain2449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bookmarkEnd w:id="7"/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Полезную площадь площадок для напуска осадка в зимне-весенний период </w:t>
      </w:r>
      <w:bookmarkStart w:id="8" w:name="OCRUncertain2450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з.в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8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9" w:name="OCRUncertain2451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bookmarkEnd w:id="9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определяется по формуле:</w:t>
      </w: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7CEA" w:rsidRDefault="00017CEA" w:rsidP="00017CEA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position w:val="-18"/>
          <w:sz w:val="28"/>
          <w:szCs w:val="28"/>
          <w:vertAlign w:val="subscript"/>
          <w:lang w:eastAsia="ru-RU"/>
        </w:rPr>
        <w:object w:dxaOrig="3060" w:dyaOrig="525">
          <v:shape id="_x0000_i1026" type="#_x0000_t75" style="width:153pt;height:26.25pt" o:ole="">
            <v:imagedata r:id="rId6" o:title=""/>
          </v:shape>
          <o:OLEObject Type="Embed" ProgID="Equation.3" ShapeID="_x0000_i1026" DrawAspect="Content" ObjectID="_1705079421" r:id="rId7"/>
        </w:objec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(12.8)</w:t>
      </w:r>
    </w:p>
    <w:p w:rsidR="00017CEA" w:rsidRDefault="00017CEA" w:rsidP="00017CEA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bookmarkStart w:id="10" w:name="OCRUncertain2457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</w:t>
      </w:r>
      <w:bookmarkEnd w:id="10"/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r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количество воды, испарившейся за год со свободной водной поверхности, мм; </w:t>
      </w: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годовое количество осадков, мм; </w:t>
      </w: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object w:dxaOrig="510" w:dyaOrig="375">
          <v:shape id="_x0000_i1027" type="#_x0000_t75" style="width:25.5pt;height:18.75pt" o:ole="">
            <v:imagedata r:id="rId8" o:title=""/>
          </v:shape>
          <o:OLEObject Type="Embed" ProgID="Equation.3" ShapeID="_x0000_i1027" DrawAspect="Content" ObjectID="_1705079422" r:id="rId9"/>
        </w:objec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</w:t>
      </w:r>
      <w:bookmarkStart w:id="11" w:name="OCRUncertain246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ъ</w:t>
      </w:r>
      <w:bookmarkEnd w:id="11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ем осадка в зимне-весенний период, </w:t>
      </w:r>
      <w:bookmarkStart w:id="12" w:name="OCRUncertain2461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bookmarkEnd w:id="12"/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определяемый по формуле:</w:t>
      </w: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7CEA" w:rsidRDefault="00017CEA" w:rsidP="00017CEA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object w:dxaOrig="1425" w:dyaOrig="360">
          <v:shape id="_x0000_i1028" type="#_x0000_t75" style="width:71.25pt;height:18pt" o:ole="">
            <v:imagedata r:id="rId10" o:title=""/>
          </v:shape>
          <o:OLEObject Type="Embed" ProgID="Equation.3" ShapeID="_x0000_i1028" DrawAspect="Content" ObjectID="_1705079423" r:id="rId11"/>
        </w:objec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(12.9)</w:t>
      </w: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object w:dxaOrig="525" w:dyaOrig="435">
          <v:shape id="_x0000_i1029" type="#_x0000_t75" style="width:26.25pt;height:21.75pt" o:ole="">
            <v:imagedata r:id="rId12" o:title=""/>
          </v:shape>
          <o:OLEObject Type="Embed" ProgID="Equation.3" ShapeID="_x0000_i1029" DrawAspect="Content" ObjectID="_1705079424" r:id="rId13"/>
        </w:objec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–об</w:t>
      </w:r>
      <w:bookmarkStart w:id="13" w:name="OCRUncertain2467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ъ</w:t>
      </w:r>
      <w:bookmarkEnd w:id="13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ем осадка, </w:t>
      </w:r>
      <w:bookmarkStart w:id="14" w:name="OCRUncertain2468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14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выпускаемого на площадки подсушивания в течение зимне-весеннего периода со средней влажностью </w:t>
      </w:r>
      <w:bookmarkStart w:id="15" w:name="OCRUncertain2469"/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object w:dxaOrig="435" w:dyaOrig="435">
          <v:shape id="_x0000_i1030" type="#_x0000_t75" style="width:21.75pt;height:21.75pt" o:ole="">
            <v:imagedata r:id="rId14" o:title=""/>
          </v:shape>
          <o:OLEObject Type="Embed" ProgID="Equation.3" ShapeID="_x0000_i1030" DrawAspect="Content" ObjectID="_1705079425" r:id="rId15"/>
        </w:objec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bookmarkEnd w:id="15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16" w:name="OCRUncertain247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%;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bookmarkEnd w:id="16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объем воды, м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выделившийся из осадка в результате его уплотнения на площадках, определяемый по формуле:</w:t>
      </w: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7CEA" w:rsidRDefault="00017CEA" w:rsidP="00017CEA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object w:dxaOrig="3555" w:dyaOrig="555">
          <v:shape id="_x0000_i1031" type="#_x0000_t75" style="width:177.75pt;height:27.75pt" o:ole="">
            <v:imagedata r:id="rId16" o:title=""/>
          </v:shape>
          <o:OLEObject Type="Embed" ProgID="Equation.3" ShapeID="_x0000_i1031" DrawAspect="Content" ObjectID="_1705079426" r:id="rId17"/>
        </w:objec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(12.10)</w:t>
      </w:r>
    </w:p>
    <w:p w:rsidR="00017CEA" w:rsidRDefault="00017CEA" w:rsidP="00017CEA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bookmarkStart w:id="17" w:name="OCRUncertain2479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bookmarkEnd w:id="17"/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влажность осадка, уплотнившегося на площадках подсушивания за время зимне-весеннего периода, определяемая по рис. 12.1 и 12.2; </w:t>
      </w: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object w:dxaOrig="435" w:dyaOrig="435">
          <v:shape id="_x0000_i1032" type="#_x0000_t75" style="width:21.75pt;height:21.75pt" o:ole="">
            <v:imagedata r:id="rId14" o:title=""/>
          </v:shape>
          <o:OLEObject Type="Embed" ProgID="Equation.3" ShapeID="_x0000_i1032" DrawAspect="Content" ObjectID="_1705079427" r:id="rId18"/>
        </w:objec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влажность осадка, </w:t>
      </w:r>
      <w:bookmarkStart w:id="18" w:name="OCRUncertain248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%,</w:t>
      </w:r>
      <w:bookmarkEnd w:id="18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принимаемая при выпуске осадка из сгустителей по таблице 10.1, из отстойников и осветлителей по формуле</w:t>
      </w: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object w:dxaOrig="3045" w:dyaOrig="360">
          <v:shape id="_x0000_i1033" type="#_x0000_t75" style="width:152.25pt;height:18pt" o:ole="">
            <v:imagedata r:id="rId19" o:title=""/>
          </v:shape>
          <o:OLEObject Type="Embed" ProgID="Equation.3" ShapeID="_x0000_i1033" DrawAspect="Content" ObjectID="_1705079428" r:id="rId20"/>
        </w:objec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(12.11)</w:t>
      </w: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7CEA" w:rsidRDefault="00017CEA" w:rsidP="00017CEA">
      <w:pPr>
        <w:pStyle w:val="9"/>
        <w:spacing w:before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 w:val="0"/>
          <w:color w:val="auto"/>
          <w:sz w:val="28"/>
          <w:szCs w:val="28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i w:val="0"/>
          <w:color w:val="auto"/>
          <w:sz w:val="28"/>
          <w:szCs w:val="28"/>
          <w:lang w:eastAsia="ru-RU"/>
        </w:rPr>
        <w:sym w:font="Symbol" w:char="F072"/>
      </w:r>
      <w:proofErr w:type="spellStart"/>
      <w:r>
        <w:rPr>
          <w:rFonts w:ascii="Times New Roman" w:eastAsia="Times New Roman" w:hAnsi="Times New Roman" w:cs="Times New Roman"/>
          <w:i w:val="0"/>
          <w:color w:val="auto"/>
          <w:sz w:val="28"/>
          <w:szCs w:val="28"/>
          <w:vertAlign w:val="subscript"/>
          <w:lang w:eastAsia="ru-RU"/>
        </w:rPr>
        <w:t>тв</w:t>
      </w:r>
      <w:proofErr w:type="spellEnd"/>
      <w:r>
        <w:rPr>
          <w:rFonts w:ascii="Times New Roman" w:eastAsia="Times New Roman" w:hAnsi="Times New Roman" w:cs="Times New Roman"/>
          <w:i w:val="0"/>
          <w:color w:val="auto"/>
          <w:sz w:val="28"/>
          <w:szCs w:val="28"/>
          <w:lang w:eastAsia="ru-RU"/>
        </w:rPr>
        <w:t xml:space="preserve"> – средняя плотность твердой фазы в осадке, принимаемая </w:t>
      </w:r>
      <w:bookmarkStart w:id="19" w:name="OCRUncertain2492"/>
      <w:r>
        <w:rPr>
          <w:rFonts w:ascii="Times New Roman" w:eastAsia="Times New Roman" w:hAnsi="Times New Roman" w:cs="Times New Roman"/>
          <w:i w:val="0"/>
          <w:color w:val="auto"/>
          <w:sz w:val="28"/>
          <w:szCs w:val="28"/>
          <w:lang w:eastAsia="ru-RU"/>
        </w:rPr>
        <w:t>о</w:t>
      </w:r>
      <w:bookmarkEnd w:id="19"/>
      <w:r>
        <w:rPr>
          <w:rFonts w:ascii="Times New Roman" w:eastAsia="Times New Roman" w:hAnsi="Times New Roman" w:cs="Times New Roman"/>
          <w:i w:val="0"/>
          <w:color w:val="auto"/>
          <w:sz w:val="28"/>
          <w:szCs w:val="28"/>
          <w:lang w:eastAsia="ru-RU"/>
        </w:rPr>
        <w:t xml:space="preserve">т 2,2 до 2,6 </w:t>
      </w:r>
      <w:bookmarkStart w:id="20" w:name="OCRUncertain2493"/>
      <w:r>
        <w:rPr>
          <w:rFonts w:ascii="Times New Roman" w:eastAsia="Times New Roman" w:hAnsi="Times New Roman" w:cs="Times New Roman"/>
          <w:i w:val="0"/>
          <w:color w:val="auto"/>
          <w:sz w:val="28"/>
          <w:szCs w:val="28"/>
          <w:lang w:eastAsia="ru-RU"/>
        </w:rPr>
        <w:t>т/м</w:t>
      </w:r>
      <w:r>
        <w:rPr>
          <w:rFonts w:ascii="Times New Roman" w:eastAsia="Times New Roman" w:hAnsi="Times New Roman" w:cs="Times New Roman"/>
          <w:i w:val="0"/>
          <w:color w:val="auto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i w:val="0"/>
          <w:color w:val="auto"/>
          <w:sz w:val="28"/>
          <w:szCs w:val="28"/>
          <w:lang w:eastAsia="ru-RU"/>
        </w:rPr>
        <w:t xml:space="preserve">; </w:t>
      </w:r>
      <w:bookmarkEnd w:id="20"/>
    </w:p>
    <w:p w:rsidR="00017CEA" w:rsidRDefault="00017CEA" w:rsidP="00017CEA">
      <w:pPr>
        <w:pStyle w:val="9"/>
        <w:spacing w:before="0" w:line="240" w:lineRule="auto"/>
        <w:ind w:firstLine="709"/>
        <w:jc w:val="both"/>
        <w:rPr>
          <w:rFonts w:ascii="Times New Roman" w:eastAsia="Times New Roman" w:hAnsi="Times New Roman" w:cs="Times New Roman"/>
          <w:i w:val="0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 w:val="0"/>
          <w:color w:val="auto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i w:val="0"/>
          <w:color w:val="auto"/>
          <w:sz w:val="28"/>
          <w:szCs w:val="28"/>
          <w:lang w:eastAsia="ru-RU"/>
        </w:rPr>
        <w:sym w:font="Symbol" w:char="F064"/>
      </w:r>
      <w:r>
        <w:rPr>
          <w:rFonts w:ascii="Times New Roman" w:eastAsia="Times New Roman" w:hAnsi="Times New Roman" w:cs="Times New Roman"/>
          <w:i w:val="0"/>
          <w:color w:val="auto"/>
          <w:sz w:val="28"/>
          <w:szCs w:val="28"/>
          <w:lang w:eastAsia="ru-RU"/>
        </w:rPr>
        <w:t xml:space="preserve"> – концентрация твердой фазы в осадке, т/м</w:t>
      </w:r>
      <w:r>
        <w:rPr>
          <w:rFonts w:ascii="Times New Roman" w:eastAsia="Times New Roman" w:hAnsi="Times New Roman" w:cs="Times New Roman"/>
          <w:i w:val="0"/>
          <w:color w:val="auto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i w:val="0"/>
          <w:color w:val="auto"/>
          <w:sz w:val="28"/>
          <w:szCs w:val="28"/>
          <w:lang w:eastAsia="ru-RU"/>
        </w:rPr>
        <w:t xml:space="preserve">, принимаемая по табл. 12.1. </w:t>
      </w: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Значение </w:t>
      </w:r>
      <w:bookmarkStart w:id="21" w:name="OCRUncertain2495"/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bookmarkEnd w:id="21"/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мм, следует определять по формуле;</w:t>
      </w: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bookmarkStart w:id="22" w:name="OCRUncertain2496"/>
    </w:p>
    <w:bookmarkEnd w:id="22"/>
    <w:p w:rsidR="00017CEA" w:rsidRDefault="00017CEA" w:rsidP="00017CEA">
      <w:pPr>
        <w:tabs>
          <w:tab w:val="left" w:pos="453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object w:dxaOrig="3330" w:dyaOrig="360">
          <v:shape id="_x0000_i1034" type="#_x0000_t75" style="width:166.5pt;height:18pt" o:ole="">
            <v:imagedata r:id="rId21" o:title=""/>
          </v:shape>
          <o:OLEObject Type="Embed" ProgID="Equation.3" ShapeID="_x0000_i1034" DrawAspect="Content" ObjectID="_1705079429" r:id="rId22"/>
        </w:objec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(12.12)</w:t>
      </w: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bookmarkStart w:id="23" w:name="OCRUncertain2504"/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bookmarkEnd w:id="23"/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суммарное число дней в году, характеризующихся дефицитом влажности;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l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средняя упругость насыщенных водяных паров, соответствующая температуре осадка, миллибар;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l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200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средняя упругость водяных паров, соответствующая абсолютной влажности воздуха на высоте 200 см от водной поверхности, миллибар, принимается по данным метеорологической станции; 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object w:dxaOrig="510" w:dyaOrig="300">
          <v:shape id="_x0000_i1035" type="#_x0000_t75" style="width:25.5pt;height:15pt" o:ole="" o:bullet="t">
            <v:imagedata r:id="rId23" o:title=""/>
          </v:shape>
          <o:OLEObject Type="Embed" ProgID="Equation.3" ShapeID="_x0000_i1035" DrawAspect="Content" ObjectID="_1705079430" r:id="rId24"/>
        </w:objec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средняя скорость ветра на высо</w:t>
      </w:r>
      <w:bookmarkStart w:id="24" w:name="OCRUncertain2508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</w:t>
      </w:r>
      <w:bookmarkEnd w:id="24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200 см, м/с.</w:t>
      </w: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7CEA" w:rsidRDefault="00017CEA" w:rsidP="00017CEA">
      <w:pPr>
        <w:pStyle w:val="9"/>
        <w:spacing w:before="0" w:line="240" w:lineRule="auto"/>
        <w:ind w:firstLine="709"/>
        <w:rPr>
          <w:rFonts w:ascii="Times New Roman" w:eastAsia="Times New Roman" w:hAnsi="Times New Roman" w:cs="Times New Roman"/>
          <w:i w:val="0"/>
          <w:iCs w:val="0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 w:val="0"/>
          <w:iCs w:val="0"/>
          <w:color w:val="auto"/>
          <w:sz w:val="28"/>
          <w:szCs w:val="28"/>
          <w:lang w:eastAsia="ru-RU"/>
        </w:rPr>
        <w:t>Таблица 12.1 – Концентрация твердой фазы в осадке</w:t>
      </w:r>
    </w:p>
    <w:p w:rsidR="00017CEA" w:rsidRDefault="00017CEA" w:rsidP="00017CEA">
      <w:pPr>
        <w:spacing w:after="0" w:line="240" w:lineRule="auto"/>
        <w:rPr>
          <w:lang w:eastAsia="ru-RU"/>
        </w:rPr>
      </w:pPr>
    </w:p>
    <w:tbl>
      <w:tblPr>
        <w:tblW w:w="963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542"/>
        <w:gridCol w:w="2543"/>
        <w:gridCol w:w="1518"/>
        <w:gridCol w:w="1518"/>
        <w:gridCol w:w="1518"/>
      </w:tblGrid>
      <w:tr w:rsidR="00017CEA" w:rsidTr="00017CEA">
        <w:trPr>
          <w:cantSplit/>
          <w:jc w:val="center"/>
        </w:trPr>
        <w:tc>
          <w:tcPr>
            <w:tcW w:w="254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Мутность исходной воды,</w:t>
            </w:r>
          </w:p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мг/л</w:t>
            </w:r>
          </w:p>
        </w:tc>
        <w:tc>
          <w:tcPr>
            <w:tcW w:w="254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Применяемые реагенты</w:t>
            </w:r>
          </w:p>
        </w:tc>
        <w:tc>
          <w:tcPr>
            <w:tcW w:w="45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 по высоте осадочной части отстойника концентрация твердой фазы в осадке, г/м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при интервалах между сбросами осадка, ч</w:t>
            </w:r>
          </w:p>
        </w:tc>
      </w:tr>
      <w:tr w:rsidR="00017CEA" w:rsidTr="00017CEA">
        <w:trPr>
          <w:cantSplit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7CEA" w:rsidRDefault="00017CE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7CEA" w:rsidRDefault="00017CEA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 и более</w:t>
            </w:r>
          </w:p>
        </w:tc>
      </w:tr>
      <w:tr w:rsidR="00017CEA" w:rsidTr="00017CEA">
        <w:trPr>
          <w:jc w:val="center"/>
        </w:trPr>
        <w:tc>
          <w:tcPr>
            <w:tcW w:w="2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      50</w:t>
            </w:r>
          </w:p>
        </w:tc>
        <w:tc>
          <w:tcPr>
            <w:tcW w:w="2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Коагулянт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9 000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12 000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15 000</w:t>
            </w:r>
          </w:p>
        </w:tc>
      </w:tr>
      <w:tr w:rsidR="00017CEA" w:rsidTr="00017CEA">
        <w:trPr>
          <w:jc w:val="center"/>
        </w:trPr>
        <w:tc>
          <w:tcPr>
            <w:tcW w:w="2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Св.     50   до     100</w:t>
            </w:r>
          </w:p>
        </w:tc>
        <w:tc>
          <w:tcPr>
            <w:tcW w:w="2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12 000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16 000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20 000</w:t>
            </w:r>
          </w:p>
        </w:tc>
      </w:tr>
      <w:tr w:rsidR="00017CEA" w:rsidTr="00017CEA">
        <w:trPr>
          <w:jc w:val="center"/>
        </w:trPr>
        <w:tc>
          <w:tcPr>
            <w:tcW w:w="2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     100    «       400</w:t>
            </w:r>
          </w:p>
        </w:tc>
        <w:tc>
          <w:tcPr>
            <w:tcW w:w="2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20 000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32 000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40 000</w:t>
            </w:r>
          </w:p>
        </w:tc>
      </w:tr>
      <w:tr w:rsidR="00017CEA" w:rsidTr="00017CEA">
        <w:trPr>
          <w:jc w:val="center"/>
        </w:trPr>
        <w:tc>
          <w:tcPr>
            <w:tcW w:w="2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     400    «     1000</w:t>
            </w:r>
          </w:p>
        </w:tc>
        <w:tc>
          <w:tcPr>
            <w:tcW w:w="2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35 000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50 000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60 000</w:t>
            </w:r>
          </w:p>
        </w:tc>
      </w:tr>
      <w:tr w:rsidR="00017CEA" w:rsidTr="00017CEA">
        <w:trPr>
          <w:jc w:val="center"/>
        </w:trPr>
        <w:tc>
          <w:tcPr>
            <w:tcW w:w="2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   1000    «     1500</w:t>
            </w:r>
          </w:p>
        </w:tc>
        <w:tc>
          <w:tcPr>
            <w:tcW w:w="2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80 000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100 000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120 000</w:t>
            </w:r>
          </w:p>
        </w:tc>
      </w:tr>
      <w:tr w:rsidR="00017CEA" w:rsidTr="00017CEA">
        <w:trPr>
          <w:jc w:val="center"/>
        </w:trPr>
        <w:tc>
          <w:tcPr>
            <w:tcW w:w="2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   1500 </w:t>
            </w:r>
          </w:p>
        </w:tc>
        <w:tc>
          <w:tcPr>
            <w:tcW w:w="2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Флокулянт</w:t>
            </w:r>
            <w:proofErr w:type="spellEnd"/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90 000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140 000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160 000</w:t>
            </w:r>
          </w:p>
        </w:tc>
      </w:tr>
      <w:tr w:rsidR="00017CEA" w:rsidTr="00017CEA">
        <w:trPr>
          <w:jc w:val="center"/>
        </w:trPr>
        <w:tc>
          <w:tcPr>
            <w:tcW w:w="25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«   1500</w:t>
            </w:r>
          </w:p>
        </w:tc>
        <w:tc>
          <w:tcPr>
            <w:tcW w:w="2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 реагентов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200 000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250 000</w:t>
            </w:r>
          </w:p>
        </w:tc>
        <w:tc>
          <w:tcPr>
            <w:tcW w:w="1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7CEA" w:rsidRDefault="00017C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300 000</w:t>
            </w:r>
          </w:p>
        </w:tc>
      </w:tr>
    </w:tbl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Полезную площадь площадок для напуска осадка в летний период следует определять по формуле (12.8), при этом значения </w:t>
      </w:r>
      <w:bookmarkStart w:id="25" w:name="OCRUncertain2510"/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bookmarkEnd w:id="25"/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bookmarkStart w:id="26" w:name="OCRUncertain2511"/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bookmarkEnd w:id="26"/>
      <w:r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надлежит принимать усредненными за период устойчивого дефицита влажности.</w:t>
      </w: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от момента напуска осадка на площадку до начала удаления в</w:t>
      </w:r>
      <w:bookmarkStart w:id="27" w:name="OCRUncertain2512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bookmarkEnd w:id="27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делившейся из осадка воды следует принимать 4–5 </w:t>
      </w:r>
      <w:bookmarkStart w:id="28" w:name="OCRUncertain2513"/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bookmarkEnd w:id="28"/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Объем уплотненного осадка летнего напуска надлежит определять по формуле (12.9) аналогично для зимне-весеннего напуска, принимая влажность и плотность осадка по рис. 12.1-12.4.</w:t>
      </w: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зависимости от местных условий и размеров площадок </w:t>
      </w:r>
      <w:bookmarkStart w:id="29" w:name="OCRUncertain2514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подсушивания</w:t>
      </w:r>
      <w:bookmarkEnd w:id="29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допускается их секционирование.</w:t>
      </w:r>
    </w:p>
    <w:p w:rsidR="00017CEA" w:rsidRDefault="00017CEA" w:rsidP="00017CEA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Строительную высоту оградительных валиков площадок подсушивания следует определят</w:t>
      </w:r>
      <w:bookmarkStart w:id="30" w:name="OCRUncertain2515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bookmarkEnd w:id="3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формуле (12.6).</w:t>
      </w:r>
    </w:p>
    <w:p w:rsidR="00017CEA" w:rsidRDefault="00017CEA" w:rsidP="00017CEA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7CEA" w:rsidRDefault="00017CEA" w:rsidP="00017CEA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7CEA" w:rsidRDefault="00017CEA" w:rsidP="00017CEA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7CEA" w:rsidRDefault="00017CEA" w:rsidP="00017CE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ЛИТЕРАТУРЫ</w:t>
      </w:r>
    </w:p>
    <w:p w:rsidR="00017CEA" w:rsidRDefault="00017CEA" w:rsidP="00017CEA">
      <w:pPr>
        <w:tabs>
          <w:tab w:val="num" w:pos="72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017CEA" w:rsidRDefault="00017CEA" w:rsidP="00017CE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«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Методика проведения технологического контроля работы сооружений по очистке сточных вод».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Председателя Агентства РК по делам строительства и жилищно-коммунального хозяйства от 29.12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2011г. № 539.</w:t>
      </w:r>
    </w:p>
    <w:p w:rsidR="00017CEA" w:rsidRDefault="00017CEA" w:rsidP="00017C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 СН РК 4-01-03-2011 «Водоотведение. Наружные сети и сооружения». Приказ АДС и ЖКХ от 29.12.2011 №539 с 01.05.2012г.</w:t>
      </w:r>
    </w:p>
    <w:p w:rsidR="00017CEA" w:rsidRDefault="00017CEA" w:rsidP="00017C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 СНиП РК 4.01-02-2009. «Водоснабжение. Наружные сети и сооружения» Приказ АДС и ЖКХ от 25.12.2009 №269 с 01.04.2010г.</w:t>
      </w:r>
    </w:p>
    <w:p w:rsidR="00017CEA" w:rsidRDefault="00017CEA" w:rsidP="00017C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Осадки сточных вод. Обезвоживание и обеззараживание. – М.: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2008. – 376 с.</w:t>
      </w:r>
    </w:p>
    <w:p w:rsidR="00017CEA" w:rsidRDefault="00017CEA" w:rsidP="00017CE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Обработка осадков сточных вод. - 3-е изд.,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– М.: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Стройиздат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1988. – 256 с.: ил.</w:t>
      </w:r>
    </w:p>
    <w:p w:rsidR="00017CEA" w:rsidRDefault="00017CEA" w:rsidP="00017CE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Журба М. Г., Соколов Л. И., Говорова Ж. М. Водоснабжение. Проектирование систем и сооружений: 2-е изд.,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Учебное пособие. – М.: Издательство АСВ, 2004. – 496 с.</w:t>
      </w:r>
    </w:p>
    <w:p w:rsidR="00017CEA" w:rsidRDefault="00017CEA" w:rsidP="00017C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Ласков Ю.М., Воронов Ю.В.,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Калицун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В.И. Примеры расчетов канализационных сооружений. – М.: Высшая школа, 1991. – 232 с.</w:t>
      </w:r>
    </w:p>
    <w:p w:rsidR="00017CEA" w:rsidRDefault="00017CEA" w:rsidP="00017CE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10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Лапицкая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М. П., Зуева Л. И., Балаескул Н. М., Кулешова Л. В. Очистка сточных вод (примеры расчетов): (Учеб. пособие для вузов по спец. «Водоснабжение и канализация») – Мн.: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Высш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школа, </w:t>
      </w:r>
      <w:proofErr w:type="gram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1983.-</w:t>
      </w:r>
      <w:proofErr w:type="gram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>255 с., ил.</w:t>
      </w:r>
    </w:p>
    <w:p w:rsidR="00017CEA" w:rsidRDefault="00017CEA" w:rsidP="00017CE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11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Калицун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В. И. и др. Лабораторный практикум по водоотведению и очистке сточных вод. – М.: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Строийздат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>, 2000. – 272 с.</w:t>
      </w:r>
    </w:p>
    <w:p w:rsidR="00017CEA" w:rsidRDefault="00017CEA" w:rsidP="00017CEA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7CEA" w:rsidRDefault="00017CEA" w:rsidP="00017CEA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7CEA" w:rsidRDefault="00017CEA" w:rsidP="00017CEA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441A49" w:rsidRDefault="00441A49"/>
    <w:sectPr w:rsidR="00441A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304"/>
    <w:rsid w:val="00017CEA"/>
    <w:rsid w:val="00441A49"/>
    <w:rsid w:val="00A51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6B581"/>
  <w15:chartTrackingRefBased/>
  <w15:docId w15:val="{8D72CAEB-363C-494B-BF47-7251A574B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CEA"/>
    <w:pPr>
      <w:spacing w:after="200" w:line="276" w:lineRule="auto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7CE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uiPriority w:val="9"/>
    <w:semiHidden/>
    <w:rsid w:val="00017CE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91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oleObject" Target="embeddings/oleObject9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image" Target="media/image10.wmf"/><Relationship Id="rId10" Type="http://schemas.openxmlformats.org/officeDocument/2006/relationships/image" Target="media/image4.wmf"/><Relationship Id="rId19" Type="http://schemas.openxmlformats.org/officeDocument/2006/relationships/image" Target="media/image8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oleObject" Target="embeddings/oleObject1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733</Words>
  <Characters>4179</Characters>
  <Application>Microsoft Office Word</Application>
  <DocSecurity>0</DocSecurity>
  <Lines>34</Lines>
  <Paragraphs>9</Paragraphs>
  <ScaleCrop>false</ScaleCrop>
  <Company>SPecialiST RePack</Company>
  <LinksUpToDate>false</LinksUpToDate>
  <CharactersWithSpaces>4903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2022-01-30T14:23:00Z</dcterms:created>
  <dcterms:modified xsi:type="dcterms:W3CDTF">2022-01-30T14:24:00Z</dcterms:modified>
</cp:coreProperties>
</file>